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trPr>
          <w:trHeight w:val="1560"/>
        </w:trPr>
        <w:tc>
          <w:tcPr>
            <w:tcW w:w="3720" w:type="dxa"/>
            <w:shd w:val="clear" w:color="auto" w:fill="auto"/>
          </w:tcPr>
          <w:p>
            <w:pPr>
              <w:widowControl w:val="0"/>
              <w:jc w:val="center"/>
            </w:pPr>
            <w:bookmarkStart w:id="0" w:name="_GoBack"/>
            <w:bookmarkEnd w:id="0"/>
            <w:r>
              <w:t>QUỐC HỘI KHÓA XV</w:t>
            </w:r>
          </w:p>
          <w:p>
            <w:pPr>
              <w:widowControl w:val="0"/>
              <w:jc w:val="center"/>
              <w:rPr>
                <w:b/>
              </w:rPr>
            </w:pPr>
            <w:r>
              <w:rPr>
                <w:b/>
              </w:rPr>
              <w:t>ỦY BAN DỰ THẢO SỬA ĐỔI,</w:t>
            </w:r>
          </w:p>
          <w:p>
            <w:pPr>
              <w:widowControl w:val="0"/>
              <w:jc w:val="center"/>
              <w:rPr>
                <w:b/>
              </w:rPr>
            </w:pPr>
            <w:r>
              <w:rPr>
                <w:b/>
              </w:rPr>
              <w:t xml:space="preserve">BỔ SUNG MỘT SỐ ĐIỀU CỦA </w:t>
            </w:r>
          </w:p>
          <w:p>
            <w:pPr>
              <w:widowControl w:val="0"/>
              <w:jc w:val="center"/>
              <w:rPr>
                <w:b/>
              </w:rPr>
            </w:pPr>
            <w:r>
              <w:rPr>
                <w:b/>
              </w:rPr>
              <w:t>HIẾN PHÁP NĂM 2013</w:t>
            </w:r>
          </w:p>
          <w:p>
            <w:pPr>
              <w:widowControl w:val="0"/>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pPr>
              <w:widowControl w:val="0"/>
              <w:jc w:val="center"/>
              <w:rPr>
                <w:i/>
                <w:sz w:val="28"/>
                <w:szCs w:val="28"/>
              </w:rPr>
            </w:pPr>
            <w:r>
              <w:rPr>
                <w:i/>
                <w:sz w:val="28"/>
                <w:szCs w:val="28"/>
              </w:rPr>
              <w:t xml:space="preserve"> </w:t>
            </w:r>
          </w:p>
        </w:tc>
        <w:tc>
          <w:tcPr>
            <w:tcW w:w="283" w:type="dxa"/>
            <w:shd w:val="clear" w:color="auto" w:fill="auto"/>
          </w:tcPr>
          <w:p>
            <w:pPr>
              <w:widowControl w:val="0"/>
              <w:jc w:val="center"/>
              <w:rPr>
                <w:b/>
                <w:sz w:val="26"/>
                <w:szCs w:val="26"/>
              </w:rPr>
            </w:pPr>
          </w:p>
        </w:tc>
        <w:tc>
          <w:tcPr>
            <w:tcW w:w="5245" w:type="dxa"/>
            <w:shd w:val="clear" w:color="auto" w:fill="auto"/>
          </w:tcPr>
          <w:p>
            <w:pPr>
              <w:widowControl w:val="0"/>
              <w:jc w:val="center"/>
              <w:rPr>
                <w:b/>
              </w:rPr>
            </w:pPr>
            <w:r>
              <w:rPr>
                <w:b/>
              </w:rPr>
              <w:t>CỘNG HÒA XÃ HỘI CHỦ NGHĨA VIỆT NAM</w:t>
            </w:r>
          </w:p>
          <w:p>
            <w:pPr>
              <w:widowControl w:val="0"/>
              <w:jc w:val="center"/>
              <w:rPr>
                <w:b/>
                <w:sz w:val="26"/>
                <w:szCs w:val="26"/>
              </w:rPr>
            </w:pPr>
            <w:r>
              <w:rPr>
                <w:b/>
                <w:sz w:val="26"/>
                <w:szCs w:val="26"/>
              </w:rPr>
              <w:t>Độc lập - Tự do - Hạnh phúc</w:t>
            </w:r>
          </w:p>
          <w:p>
            <w:pPr>
              <w:widowControl w:val="0"/>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pPr>
              <w:widowControl w:val="0"/>
              <w:jc w:val="center"/>
              <w:rPr>
                <w:b/>
                <w:sz w:val="28"/>
                <w:szCs w:val="28"/>
              </w:rPr>
            </w:pPr>
            <w:r>
              <w:rPr>
                <w:i/>
                <w:sz w:val="28"/>
                <w:szCs w:val="28"/>
              </w:rPr>
              <w:t xml:space="preserve"> Hà Nội, ngày 05 tháng 5 năm 2025</w:t>
            </w:r>
          </w:p>
        </w:tc>
      </w:tr>
    </w:tbl>
    <w:p>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THUYẾT MINH                                                                                                           Về dự thảo Nghị quyết sửa đổi, bổ sung một số điều của Hiến pháp                          nước Cộng hòa xã hội chủ nghĩa Việt Nam năm 2013  </w:t>
      </w:r>
    </w:p>
    <w:p>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pPr>
        <w:widowControl w:val="0"/>
        <w:tabs>
          <w:tab w:val="left" w:pos="2324"/>
        </w:tabs>
        <w:spacing w:before="120"/>
        <w:ind w:firstLine="567"/>
        <w:jc w:val="both"/>
        <w:rPr>
          <w:rFonts w:ascii="Times New Roman Bold" w:hAnsi="Times New Roman Bold"/>
          <w:spacing w:val="-2"/>
          <w:sz w:val="28"/>
          <w:szCs w:val="28"/>
          <w:lang w:val="es-ES"/>
        </w:rPr>
      </w:pPr>
      <w:r>
        <w:rPr>
          <w:rFonts w:ascii="Times New Roman Bold" w:hAnsi="Times New Roman Bold"/>
          <w:spacing w:val="-2"/>
          <w:sz w:val="28"/>
          <w:szCs w:val="28"/>
          <w:lang w:val="es-ES"/>
        </w:rPr>
        <w:t xml:space="preserve">Ngày 05/5/2025, Quốc hội khóa XV đã thảo luận và thông qua Nghị quyết số 194/2025/QH15 với 452 đại biểu Quốc hội biểu quyết tán thành </w:t>
      </w:r>
      <w:r>
        <w:rPr>
          <w:rFonts w:ascii="Times New Roman Bold" w:hAnsi="Times New Roman Bold"/>
          <w:i/>
          <w:spacing w:val="-2"/>
          <w:sz w:val="28"/>
          <w:szCs w:val="28"/>
          <w:lang w:val="es-ES"/>
        </w:rPr>
        <w:t>(chiếm tỷ lệ 100% số đại biểu có mặt và 94,56% tổng số đại biểu Quốc hội).</w:t>
      </w:r>
      <w:r>
        <w:rPr>
          <w:rFonts w:ascii="Times New Roman Bold" w:hAnsi="Times New Roman Bold"/>
          <w:spacing w:val="-2"/>
          <w:sz w:val="28"/>
          <w:szCs w:val="28"/>
          <w:lang w:val="es-ES"/>
        </w:rPr>
        <w:t xml:space="preserve"> Theo đó, Quốc hội đã quyết định xem xét sửa đổi, bổ sung một số điều của Hiến pháp nước Cộng hòa xã hội chủ nghĩa Việt Nam năm 2013 để thực hiện chủ trương sắp xếp, tinh gọn tổ chức bộ máy của hệ thống chính trị với phạm vi sửa đổi tập trung vào các quy định của Hiến pháp năm 2013 về Mặt trận Tổ quốc Việt Nam, các tổ chức chính trị - xã hội và việc phân định đơn vị hành chính, tổ chức chính quyền địa phương. </w:t>
      </w:r>
    </w:p>
    <w:p>
      <w:pPr>
        <w:widowControl w:val="0"/>
        <w:tabs>
          <w:tab w:val="left" w:pos="2324"/>
        </w:tabs>
        <w:spacing w:before="120"/>
        <w:ind w:firstLine="567"/>
        <w:jc w:val="both"/>
        <w:rPr>
          <w:sz w:val="28"/>
          <w:szCs w:val="28"/>
          <w:lang w:val="es-ES"/>
        </w:rPr>
      </w:pPr>
      <w:r>
        <w:rPr>
          <w:rFonts w:ascii="Times New Roman Bold" w:hAnsi="Times New Roman Bold"/>
          <w:spacing w:val="-2"/>
          <w:sz w:val="28"/>
          <w:szCs w:val="28"/>
          <w:lang w:val="es-ES"/>
        </w:rPr>
        <w:t xml:space="preserve">Ủy ban dự thảo sửa đổi, bổ sung một số điều của Hiến pháp năm 2013 được Quốc hội thành lập theo Nghị quyết số 195/2025/QH15 ngày 05/5/2025 đã tổ chức xây dựng dự thảo Nghị quyết sửa đổi, bổ sung một số điều của Hiến pháp nước Cộng hòa xã hội chủ nghĩa Việt Nam năm 2013 với phạm vi đã được Quốc hội xác định. </w:t>
      </w:r>
      <w:r>
        <w:rPr>
          <w:sz w:val="28"/>
          <w:szCs w:val="28"/>
        </w:rPr>
        <w:t>Dự thảo Nghị quyết sửa đổi, bổ sung một số điều của Hiến pháp nước Cộng hòa xã hội chủ nghĩa Việt Nam</w:t>
      </w:r>
      <w:r>
        <w:rPr>
          <w:b/>
          <w:sz w:val="28"/>
          <w:szCs w:val="28"/>
        </w:rPr>
        <w:t xml:space="preserve"> </w:t>
      </w:r>
      <w:r>
        <w:rPr>
          <w:sz w:val="28"/>
          <w:szCs w:val="28"/>
        </w:rPr>
        <w:t xml:space="preserve">năm 2013 gồm có </w:t>
      </w:r>
      <w:r>
        <w:rPr>
          <w:sz w:val="28"/>
          <w:szCs w:val="28"/>
          <w:lang w:val="es-ES"/>
        </w:rPr>
        <w:t>02 điều; Điều 1 gồm 08 khoản sửa đổi, bổ sung một số quy định của Hiến pháp năm 2013 về Mặt trận Tổ quốc Việt Nam và các tổ chức chính trị - xã hội, về đơn vị hành chính và tổ chức chính quyền địa phương; Điều 2 gồm 03 khoản quy định về hiệu lực thi hành và điều khoản chuyển tiếp. Sau đây là thuyết minh về dự thảo Nghị quyết:</w:t>
      </w:r>
    </w:p>
    <w:p>
      <w:pPr>
        <w:widowControl w:val="0"/>
        <w:tabs>
          <w:tab w:val="left" w:pos="2324"/>
          <w:tab w:val="left" w:pos="3000"/>
        </w:tabs>
        <w:spacing w:before="120"/>
        <w:ind w:firstLine="567"/>
        <w:jc w:val="both"/>
        <w:rPr>
          <w:rFonts w:ascii="Times New Roman Bold" w:hAnsi="Times New Roman Bold"/>
          <w:b/>
          <w:spacing w:val="-2"/>
          <w:sz w:val="28"/>
          <w:szCs w:val="28"/>
          <w:lang w:val="es-ES"/>
        </w:rPr>
      </w:pPr>
      <w:r>
        <w:rPr>
          <w:rFonts w:ascii="Times New Roman Bold" w:hAnsi="Times New Roman Bold"/>
          <w:b/>
          <w:spacing w:val="-2"/>
          <w:sz w:val="28"/>
          <w:szCs w:val="28"/>
          <w:lang w:val="es-ES"/>
        </w:rPr>
        <w:t>1. Về Điều 1 của dự thảo Nghị quyết</w:t>
      </w:r>
    </w:p>
    <w:p>
      <w:pPr>
        <w:widowControl w:val="0"/>
        <w:tabs>
          <w:tab w:val="left" w:pos="2324"/>
          <w:tab w:val="left" w:pos="3000"/>
        </w:tabs>
        <w:spacing w:before="120"/>
        <w:ind w:firstLine="567"/>
        <w:jc w:val="both"/>
        <w:rPr>
          <w:rFonts w:ascii="Times New Roman Bold" w:hAnsi="Times New Roman Bold"/>
          <w:b/>
          <w:i/>
          <w:spacing w:val="-2"/>
          <w:sz w:val="28"/>
          <w:szCs w:val="28"/>
          <w:lang w:val="es-ES"/>
        </w:rPr>
      </w:pPr>
      <w:r>
        <w:rPr>
          <w:rFonts w:ascii="Times New Roman Bold" w:hAnsi="Times New Roman Bold"/>
          <w:b/>
          <w:i/>
          <w:spacing w:val="-2"/>
          <w:sz w:val="28"/>
          <w:szCs w:val="28"/>
          <w:lang w:val="es-ES"/>
        </w:rPr>
        <w:t>1.1. Sửa đổi, bổ sung quy định về Mặt trận Tổ quốc Việt Nam và các tổ chức chính trị - xã hội (Điều 9 của Hiến pháp năm 2013)</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Pr>
          <w:color w:val="000000"/>
          <w:sz w:val="28"/>
          <w:szCs w:val="28"/>
          <w:lang w:val="es-ES"/>
        </w:rPr>
        <w:t>chính</w:t>
      </w:r>
      <w:r>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Pr>
          <w:color w:val="000000"/>
          <w:sz w:val="28"/>
          <w:szCs w:val="28"/>
          <w:lang w:val="es-ES"/>
        </w:rPr>
        <w:t xml:space="preserve">hoạt động cơ bản của Mặt trận Tổ quốc Việt Nam và các tổ chức thành viên </w:t>
      </w:r>
      <w:r>
        <w:rPr>
          <w:color w:val="000000"/>
          <w:sz w:val="28"/>
          <w:lang w:val="pt-BR"/>
        </w:rPr>
        <w:t>là phối hợp và thống nhất hành động trong Mặt trận Tổ quốc Việt Nam (khoản 2 Điều 9). K</w:t>
      </w:r>
      <w:r>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Pr>
          <w:color w:val="000000"/>
          <w:sz w:val="28"/>
          <w:lang w:val="pt-BR"/>
        </w:rPr>
        <w:t>vẫn</w:t>
      </w:r>
      <w:r>
        <w:rPr>
          <w:bCs/>
          <w:color w:val="000000"/>
          <w:sz w:val="28"/>
          <w:lang w:val="pt-BR"/>
        </w:rPr>
        <w:t xml:space="preserve"> giữ tính độc lập của tổ chức mình</w:t>
      </w:r>
      <w:r>
        <w:rPr>
          <w:color w:val="000000"/>
          <w:sz w:val="28"/>
          <w:lang w:val="pt-BR"/>
        </w:rPr>
        <w:t xml:space="preserve"> </w:t>
      </w:r>
      <w:r>
        <w:rPr>
          <w:color w:val="000000"/>
          <w:sz w:val="28"/>
          <w:lang w:val="pt-BR"/>
        </w:rPr>
        <w:lastRenderedPageBreak/>
        <w:t>(khoản 3 Điều 4 của Luật Mặt trận Tổ quốc Việt Nam năm 2015).</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hệ thống các tổ chức thành viên của Mặt trận Tổ quốc Việt Nam còn cồng kềnh, nhiều tầng nấc trung gian, chức năng, nhiệm vụ còn có sự giao thoa, trùng lắp; có lúc, có nơi chưa thực hiện sâu sát cơ sở, nắm tình hình Nhân dân chưa kịp thời; vẫn còn tồn tại tình trạng một việc nhiều tổ chức cùng làm, một người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Pr>
          <w:color w:val="000000"/>
          <w:spacing w:val="-4"/>
          <w:sz w:val="28"/>
          <w:lang w:val="pt-BR"/>
        </w:rPr>
        <w:t xml:space="preserve">Thực hiện chủ trương của Đảng về thu gọn đầu mối, nâng cao hiệu quả hoạt động của các tổ chức trong hệ thống chính trị, Hội nghị lần thứ 11 Ban Chấp hành Trung ương Đảng khóa XIII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bộ máy tổ chức của Mặt trận Tổ quốc Việt Nam, các tổ chức chính trị - xã hội để thích ứng với tình hình mới, đáp ứng yêu cầu gần dân, sát dân, đại diện, bảo vệ tốt hơn quyền, lợi ích hợp pháp, chính đáng của Nhân dân.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Để làm rõ vai trò cốt lõi của Mặt trận Tổ quốc Việt Nam, nhấn mạnh 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 trên cơ sở đề xuất của Ủy ban Trung ương Mặt trận Tổ quốc Việt Nam, đề nghị sửa đổi, bổ sung Điều 9 của Hiến pháp năm 2013 như sau:</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 xml:space="preserve">(2) Quy định khái quát về các tổ chức chính trị - xã hội theo hướng khẳng định vị trí của các tổ chức </w:t>
      </w:r>
      <w:r>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Pr>
          <w:b/>
          <w:i/>
          <w:sz w:val="28"/>
          <w:lang w:val="pt-BR"/>
        </w:rPr>
        <w:t xml:space="preserve">1.2. </w:t>
      </w:r>
      <w:r>
        <w:rPr>
          <w:rFonts w:ascii="Times New Roman Bold" w:hAnsi="Times New Roman Bold"/>
          <w:b/>
          <w:i/>
          <w:spacing w:val="-2"/>
          <w:sz w:val="28"/>
          <w:szCs w:val="28"/>
          <w:lang w:val="es-ES"/>
        </w:rPr>
        <w:t>Sửa đổi, bổ sung quy định về</w:t>
      </w:r>
      <w:r>
        <w:rPr>
          <w:b/>
          <w:i/>
          <w:sz w:val="28"/>
          <w:lang w:val="pt-BR"/>
        </w:rPr>
        <w:t xml:space="preserve"> Công đoàn Việt Nam (Điều 10 của Hiến pháp năm 2013)</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Pr>
          <w:color w:val="000000"/>
          <w:sz w:val="28"/>
          <w:lang w:val="pt-BR"/>
        </w:rPr>
        <w:t xml:space="preserve">n Tổ quốc Việt Nam.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Pr>
          <w:i/>
          <w:color w:val="000000"/>
          <w:spacing w:val="-4"/>
          <w:sz w:val="28"/>
          <w:lang w:val="pt-BR"/>
        </w:rPr>
        <w:t>là đại diện của người lao động ở cấp quốc gia trong quan hệ lao động và quan hệ quốc tế về công đoàn.</w:t>
      </w:r>
    </w:p>
    <w:p>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 xml:space="preserve">1.3. </w:t>
      </w:r>
      <w:r>
        <w:rPr>
          <w:rFonts w:ascii="Times New Roman Bold" w:hAnsi="Times New Roman Bold"/>
          <w:b/>
          <w:i/>
          <w:spacing w:val="-2"/>
          <w:sz w:val="28"/>
          <w:szCs w:val="28"/>
          <w:lang w:val="es-ES"/>
        </w:rPr>
        <w:t xml:space="preserve">Sửa đổi, bổ sung quy định về </w:t>
      </w:r>
      <w:r>
        <w:rPr>
          <w:b/>
          <w:i/>
          <w:color w:val="000000"/>
          <w:sz w:val="28"/>
          <w:lang w:val="pt-BR"/>
        </w:rPr>
        <w:t xml:space="preserve">quyền trình dự án luật, dự án pháp lệnh của các tổ chức chính trị - xã hội (Điều 84 của Hiến pháp năm 2013) </w:t>
      </w:r>
    </w:p>
    <w:p>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Pr>
          <w:bCs/>
          <w:spacing w:val="-2"/>
          <w:sz w:val="28"/>
          <w:szCs w:val="28"/>
        </w:rPr>
        <w:t>Dự thảo Nghị quyết 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Pr>
          <w:bCs/>
          <w:sz w:val="28"/>
          <w:szCs w:val="28"/>
        </w:rPr>
        <w:t>Ủy ban Trung ương Mặt trận Tổ quốc Việt Nam có nhiệm vụ tiếp nhận, tổng hợp các kiến nghị, đề xuất của các tổ chức chính trị - xã hội cũng như các tổ chức thành viên khác của Mặt trận, nghiên cứu, xem xét và quyết định việc trình dự án luật, dự án pháp lệnh khi thấy cần thiết và có đủ điều kiện thực hiện.</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 xml:space="preserve">1.4. </w:t>
      </w:r>
      <w:r>
        <w:rPr>
          <w:rFonts w:ascii="Times New Roman Bold" w:hAnsi="Times New Roman Bold"/>
          <w:b/>
          <w:i/>
          <w:spacing w:val="-2"/>
          <w:sz w:val="28"/>
          <w:szCs w:val="28"/>
          <w:lang w:val="es-ES"/>
        </w:rPr>
        <w:t>Sửa đổi, bổ sung quy định về</w:t>
      </w:r>
      <w:r>
        <w:rPr>
          <w:b/>
          <w:i/>
          <w:color w:val="000000"/>
          <w:sz w:val="28"/>
          <w:lang w:val="pt-BR"/>
        </w:rPr>
        <w:t xml:space="preserve"> tổ chức đơn vị hành chính (Điều 110 của Hiến pháp năm 2013)</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 Việc duy trì cấp chính quyền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sắp xếp tinh gọn tổ chức bộ máy của hệ thống chính trị, </w:t>
      </w:r>
      <w:r>
        <w:rPr>
          <w:bCs/>
          <w:iCs/>
          <w:sz w:val="28"/>
          <w:szCs w:val="28"/>
          <w:lang w:val="fr-FR"/>
        </w:rPr>
        <w:t>Nghị quyết số 60-NQ/TW ngày 12/4/2025 Hội nghị lần thứ 11 Ban Chấp hành Trung ương Đảng khóa XIII về</w:t>
      </w:r>
      <w:r>
        <w:rPr>
          <w:color w:val="000000"/>
          <w:spacing w:val="4"/>
          <w:sz w:val="28"/>
          <w:szCs w:val="28"/>
        </w:rPr>
        <w:t xml:space="preserve"> tổ chức chính quyền địa phương 02 cấp và kết thúc hoạt động của đơn vị hành chính cấp huyện từ ngày 01/7/2025,</w:t>
      </w:r>
      <w:r>
        <w:rPr>
          <w:color w:val="000000"/>
          <w:sz w:val="28"/>
          <w:lang w:val="pt-BR"/>
        </w:rPr>
        <w:t xml:space="preserve"> cần sửa đổi, bổ sung Điều 110 của Hiến pháp năm 2013 theo hướng quy định mô hình địa phương 02 cấp, đồng thời không quy định quá chi tiết về hệ thống các đơn vị hành chính với tên của từng loại đơn vị ở từng cấp như hiện nay. </w:t>
      </w:r>
      <w:r>
        <w:rPr>
          <w:color w:val="000000"/>
          <w:spacing w:val="-2"/>
          <w:sz w:val="28"/>
          <w:lang w:val="pt-BR"/>
        </w:rPr>
        <w:t xml:space="preserve">Trên cơ sở đó, đề nghị sửa đổi, bổ sung Điều 110 như sau: Các đơn vị hành chính của nước Cộng hòa xã hội chủ nghĩa Việt Nam gồm tỉnh, thành phố trực thuộc trung ương và các đơn vị hành chính dưới tỉnh, thành phố trực thuộc trung ương. Đơn vị hành chính - kinh tế đặc biệt do Quốc hội thành lập.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 Quy định này sẽ tạo điều kiện để tiếp tục cụ thể hóa mô hình đơn vị hành chính và chính quyền địa phương 02 cấp tại Luật Tổ chức chính quyền địa phương (sửa đổi) cũng đang được trình Quốc hội xem xét, thông qua tại Kỳ họp thứ 9 này. Hiện tại, dự án Luật Tổ chức chính quyền địa phương (sửa đổi) đang dự kiến quy định </w:t>
      </w:r>
      <w:r>
        <w:rPr>
          <w:sz w:val="28"/>
          <w:szCs w:val="28"/>
        </w:rPr>
        <w:t>xã là đơn vị hành chính ở nông thôn; phường là đơn vị hành chính ở đô thị và đặc khu là đơn vị hành chính ở hải đảo</w:t>
      </w:r>
      <w:r>
        <w:rPr>
          <w:spacing w:val="-4"/>
          <w:sz w:val="28"/>
          <w:szCs w:val="28"/>
        </w:rPr>
        <w:t>.</w:t>
      </w:r>
      <w:r>
        <w:rPr>
          <w:color w:val="000000"/>
          <w:spacing w:val="-2"/>
          <w:sz w:val="28"/>
          <w:lang w:val="pt-BR"/>
        </w:rPr>
        <w:t xml:space="preserve"> Việc sử dụng cụm từ “</w:t>
      </w:r>
      <w:r>
        <w:rPr>
          <w:i/>
          <w:color w:val="000000"/>
          <w:spacing w:val="-2"/>
          <w:sz w:val="28"/>
          <w:lang w:val="pt-BR"/>
        </w:rPr>
        <w:t>đơn vị hành chính dưới tỉnh, thành phố trực thuộc trung ương</w:t>
      </w:r>
      <w:r>
        <w:rPr>
          <w:color w:val="000000"/>
          <w:spacing w:val="-2"/>
          <w:sz w:val="28"/>
          <w:lang w:val="pt-BR"/>
        </w:rPr>
        <w:t>” là bảo đảm thống nhất với nội dung đã được quy định tại khoản 8 Điều 74 và khoản 4 Điều 96 của Hiến pháp hiện nay.</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Pr>
          <w:b/>
          <w:i/>
          <w:color w:val="000000"/>
          <w:spacing w:val="4"/>
          <w:sz w:val="28"/>
          <w:lang w:val="pt-BR"/>
        </w:rPr>
        <w:t xml:space="preserve">1.5. </w:t>
      </w:r>
      <w:r>
        <w:rPr>
          <w:rFonts w:ascii="Times New Roman Bold" w:hAnsi="Times New Roman Bold"/>
          <w:b/>
          <w:i/>
          <w:spacing w:val="4"/>
          <w:sz w:val="28"/>
          <w:szCs w:val="28"/>
          <w:lang w:val="es-ES"/>
        </w:rPr>
        <w:t>Sửa đổi, bổ sung m</w:t>
      </w:r>
      <w:r>
        <w:rPr>
          <w:b/>
          <w:i/>
          <w:color w:val="000000"/>
          <w:spacing w:val="4"/>
          <w:sz w:val="28"/>
          <w:lang w:val="pt-BR"/>
        </w:rPr>
        <w:t>ột số quy định khác về chính quyền địa phương</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Trong thực tế hiện nay, việc sử dụng thuật ngữ </w:t>
      </w:r>
      <w:r>
        <w:rPr>
          <w:i/>
          <w:color w:val="000000"/>
          <w:sz w:val="28"/>
          <w:szCs w:val="28"/>
          <w:lang w:val="nl-NL"/>
        </w:rPr>
        <w:t>“cấp chính quyền địa phương”</w:t>
      </w:r>
      <w:r>
        <w:rPr>
          <w:color w:val="000000"/>
          <w:sz w:val="28"/>
          <w:szCs w:val="28"/>
          <w:lang w:val="nl-NL"/>
        </w:rPr>
        <w:t xml:space="preserve"> để chỉ chính quyền địa phương tại những đơn vị hành chính tổ chức đồng thời cả Hội đồng nhân dân và Ủy ban nhân dân dễ gây nhầm lẫn với thuật ngữ </w:t>
      </w:r>
      <w:r>
        <w:rPr>
          <w:i/>
          <w:color w:val="000000"/>
          <w:sz w:val="28"/>
          <w:szCs w:val="28"/>
          <w:lang w:val="nl-NL"/>
        </w:rPr>
        <w:t>“chính quyền địa phương”</w:t>
      </w:r>
      <w:r>
        <w:rPr>
          <w:color w:val="000000"/>
          <w:sz w:val="28"/>
          <w:szCs w:val="28"/>
          <w:lang w:val="nl-NL"/>
        </w:rPr>
        <w:t xml:space="preserve"> nói chung, bao gồm cả những địa phương hiện nay đang tổ chức mô hình chính quyền đô thị (không tổ chức Hội đồng nhân dân). Thể chế hóa kết luận của Trung ương, Bộ Chính trị, Ban Bí thư về tổ chức chính quyền địa phương cấp tỉnh, cấp xã có Hội đồng nhân dân và Ủy ban nhân dân, đề nghị sửa đổi, bổ sung </w:t>
      </w:r>
      <w:r>
        <w:rPr>
          <w:color w:val="000000"/>
          <w:sz w:val="28"/>
          <w:szCs w:val="28"/>
          <w:lang w:val="pt-BR"/>
        </w:rPr>
        <w:t>các điều 111, 112, 114</w:t>
      </w:r>
      <w:r>
        <w:rPr>
          <w:color w:val="000000"/>
          <w:sz w:val="28"/>
          <w:lang w:val="pt-BR"/>
        </w:rPr>
        <w:t xml:space="preserve"> của Hiến pháp năm 2013 theo hướng quy định tổ chức chính quyền địa phương gồm </w:t>
      </w:r>
      <w:r>
        <w:rPr>
          <w:color w:val="000000"/>
          <w:sz w:val="28"/>
          <w:szCs w:val="28"/>
          <w:lang w:val="nl-NL"/>
        </w:rPr>
        <w:t>Hội đồng nhân dân</w:t>
      </w:r>
      <w:r>
        <w:rPr>
          <w:color w:val="000000"/>
          <w:sz w:val="28"/>
          <w:lang w:val="pt-BR"/>
        </w:rPr>
        <w:t xml:space="preserve"> và </w:t>
      </w:r>
      <w:r>
        <w:rPr>
          <w:color w:val="000000"/>
          <w:sz w:val="28"/>
          <w:szCs w:val="28"/>
          <w:lang w:val="nl-NL"/>
        </w:rPr>
        <w:t xml:space="preserve">Ủy ban nhân dân; </w:t>
      </w:r>
      <w:r>
        <w:rPr>
          <w:color w:val="000000"/>
          <w:sz w:val="28"/>
          <w:lang w:val="pt-BR"/>
        </w:rPr>
        <w:t xml:space="preserve">không sử dụng thuật ngữ </w:t>
      </w:r>
      <w:r>
        <w:rPr>
          <w:i/>
          <w:color w:val="000000"/>
          <w:sz w:val="28"/>
          <w:lang w:val="pt-BR"/>
        </w:rPr>
        <w:t>“cấp chính quyền địa phương”</w:t>
      </w:r>
      <w:r>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 độ làm việc của Hội đồng nhân dân và Ủy ban nhân dân cấp tỉnh, cấp xã như hiện nay.</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pacing w:val="-2"/>
          <w:sz w:val="28"/>
          <w:lang w:val="pt-BR"/>
        </w:rPr>
        <w:t xml:space="preserve">- Tại khoản 2 Điều 115 của Hiến pháp năm 2013 đang quy định đại biểu Hội đồng nhân dân có quyền chất vấn Chánh án Tòa án nhân dân, Viện trưởng Viện kiểm sát nhân dân. Thực tế hiện nay, việc chất vấn đối với Chánh án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(Chủ tịch Ủy ban nhân dân, các thành viên khác của Ủy ban nhân dân và người đứng đầu cơ quan thuộc Ủy ban nhân dân) để nâng cao hiệu quả hoạt động trên thực tế. </w:t>
      </w:r>
      <w:r>
        <w:rPr>
          <w:color w:val="000000"/>
          <w:sz w:val="28"/>
          <w:lang w:val="pt-BR"/>
        </w:rPr>
        <w:t>Tuy không quy định về thẩm quyền chất vấn của đại biểu Hội đồng nhân dân đối với Chánh án Toà án nhân dân và Viện trưởng Viện kiểm sát nhân dân song Hội đồng nhân dân vẫn thực hiện thẩm quyền giám sát việc tuân theo Hiến pháp và pháp luật ở địa phương, trong đó bao gồm giám sát hoạt động của Tòa án nhân dân, Viện kiểm sát nhân dân và của các cơ quan nhà nước khác trên địa bàn. 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Do đó, vẫn bảo đảm cơ chế kiểm soát quyền lực nhà nước giữa các cơ quan, tổ chức, người có thẩm quyền ở địa phương.</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 xml:space="preserve">2. Về Điều 2 của dự thảo Nghị quyết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Pr>
          <w:b/>
          <w:i/>
          <w:color w:val="000000"/>
          <w:spacing w:val="-2"/>
          <w:sz w:val="28"/>
          <w:szCs w:val="28"/>
          <w:lang w:val="pt-BR"/>
        </w:rPr>
        <w:t>2.1. Về hiệu lực thi hành</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Pr>
          <w:color w:val="000000"/>
          <w:spacing w:val="-2"/>
          <w:sz w:val="28"/>
          <w:szCs w:val="28"/>
          <w:lang w:val="nl-NL"/>
        </w:rPr>
        <w:t xml:space="preserve">đề nghị xác định thời điểm có hiệu lực thi hành của Nghị quyết sửa đổi, bổ sung một số điều của Hiến pháp năm 2013 là </w:t>
      </w:r>
      <w:r>
        <w:rPr>
          <w:color w:val="000000"/>
          <w:spacing w:val="-2"/>
          <w:sz w:val="28"/>
          <w:szCs w:val="28"/>
        </w:rPr>
        <w:t xml:space="preserve">từ ngày 01/7/2025.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Pr>
          <w:b/>
          <w:bCs/>
          <w:i/>
          <w:iCs/>
          <w:sz w:val="28"/>
          <w:szCs w:val="28"/>
          <w:lang w:val="fr-FR"/>
        </w:rPr>
        <w:t>2.2. Về điều khoản chuyển tiếp</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Nghị quyết số 60-NQ/TW ngày 12/4/2025 Hội nghị lần thứ 11 Ban Chấp hành Trung ương Đảng khóa XIII đã thống nhất khẳng định: </w:t>
      </w:r>
      <w:r>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 xml:space="preserve">. </w:t>
      </w:r>
      <w:r>
        <w:rPr>
          <w:color w:val="000000"/>
          <w:spacing w:val="-2"/>
          <w:sz w:val="28"/>
          <w:szCs w:val="28"/>
        </w:rPr>
        <w:t xml:space="preserve">Trên cơ sở đó, các luật, nghị quyết của Quốc hội sẽ xác định một khoảng thời gian chuyển tiếp phù hợp để các cơ quan ở cấp huyện hoàn thành việc bàn giao, kết thúc hoạt động; </w:t>
      </w:r>
      <w:r>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rà soát, tiếp nhận cán bộ, công chức, nhiệm vụ, quyền hạn của cấp huyện, kiện toàn về tổ chức bộ máy, điều kiện làm việc để chính thức đi vào hoạt động, thực hiện các nhiệm vụ, quyền hạn theo quy định mới của các luật, nghị quyết; bảo đảm các cơ quan </w:t>
      </w:r>
      <w:r>
        <w:rPr>
          <w:rFonts w:eastAsia="Calibri"/>
          <w:color w:val="000000"/>
          <w:spacing w:val="-2"/>
          <w:sz w:val="28"/>
          <w:szCs w:val="28"/>
        </w:rPr>
        <w:t>sau khi thực hiện sắp xếp, sáp nhập</w:t>
      </w:r>
      <w:r>
        <w:rPr>
          <w:rFonts w:eastAsia="Calibri"/>
          <w:b/>
          <w:color w:val="000000"/>
          <w:spacing w:val="-2"/>
          <w:sz w:val="28"/>
          <w:szCs w:val="28"/>
        </w:rPr>
        <w:t xml:space="preserve"> </w:t>
      </w:r>
      <w:r>
        <w:rPr>
          <w:bCs/>
          <w:color w:val="000000"/>
          <w:spacing w:val="-2"/>
          <w:sz w:val="28"/>
          <w:szCs w:val="28"/>
          <w:lang w:val="nl-NL" w:eastAsia="vi-VN"/>
        </w:rPr>
        <w:t xml:space="preserve">hoạt động thông suốt, đồng bộ, hiệu lực, hiệu quả, </w:t>
      </w:r>
      <w:r>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Để kịp thời thể chế hóa Kết luận số 150-KL/TW ngày 14/4/2025 của Bộ Chính trị hướng dẫn xây dựng phương án nhân sự cấp ủy cấp tỉnh thuộc diện hợp nhất, sáp nhập và cấp xã thành lập mới, đề nghị trong dự thảo Nghị quyết cần có điều khoản chuyển tiếp (</w:t>
      </w:r>
      <w:r>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Pr>
          <w:color w:val="000000"/>
          <w:spacing w:val="-2"/>
          <w:sz w:val="28"/>
          <w:lang w:val="pt-BR"/>
        </w:rPr>
        <w:t>Hội đồng nhân dân</w:t>
      </w:r>
      <w:r>
        <w:rPr>
          <w:bCs/>
          <w:color w:val="000000"/>
          <w:spacing w:val="-2"/>
          <w:sz w:val="28"/>
          <w:szCs w:val="28"/>
          <w:lang w:val="nl-NL" w:eastAsia="vi-VN"/>
        </w:rPr>
        <w:t xml:space="preserve">, Ủy ban nhân dân và Trưởng đoàn, Phó trưởng Đoàn đại biểu Quốc hội để tạo cơ sở pháp lý cho việc kiện toàn tổ chức bộ máy của các cơ quan trong </w:t>
      </w:r>
      <w:r>
        <w:rPr>
          <w:spacing w:val="-4"/>
          <w:sz w:val="28"/>
          <w:szCs w:val="28"/>
        </w:rPr>
        <w:t xml:space="preserve">đợt sắp xếp đơn vị hành chính cấp tỉnh, cấp xã năm 2025 và kiện toàn tổ chức bộ máy của </w:t>
      </w:r>
      <w:r>
        <w:rPr>
          <w:color w:val="000000"/>
          <w:spacing w:val="-2"/>
          <w:sz w:val="28"/>
          <w:lang w:val="pt-BR"/>
        </w:rPr>
        <w:t>Hội đồng nhân dân</w:t>
      </w:r>
      <w:r>
        <w:rPr>
          <w:spacing w:val="-4"/>
          <w:sz w:val="28"/>
          <w:szCs w:val="28"/>
        </w:rPr>
        <w:t xml:space="preserve">, </w:t>
      </w:r>
      <w:r>
        <w:rPr>
          <w:bCs/>
          <w:color w:val="000000"/>
          <w:spacing w:val="-2"/>
          <w:sz w:val="28"/>
          <w:szCs w:val="28"/>
          <w:lang w:val="nl-NL" w:eastAsia="vi-VN"/>
        </w:rPr>
        <w:t>Ủy ban nhân dân</w:t>
      </w:r>
      <w:r>
        <w:rPr>
          <w:spacing w:val="-4"/>
          <w:sz w:val="28"/>
          <w:szCs w:val="28"/>
        </w:rPr>
        <w:t xml:space="preserve"> nhiệm </w:t>
      </w:r>
      <w:r>
        <w:rPr>
          <w:bCs/>
          <w:color w:val="000000"/>
          <w:spacing w:val="-2"/>
          <w:sz w:val="28"/>
          <w:szCs w:val="28"/>
          <w:lang w:val="nl-NL" w:eastAsia="vi-VN"/>
        </w:rPr>
        <w:t xml:space="preserve">kỳ 2021 - 2026 khi không còn đơn vị hành chính cấp huyện.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Lý do của việc cần áp dụng cơ chế này trước hết là do tính chất hết sức đặc biệt của việc sắp xếp đơn vị hành chính lần này. Ngoài quy mô rất lớn, mang tính toàn quốc của việc nhập tỉnh, thành phố trực thuộc trung ương, sắp xếp đơn vị hành chính cấp xã, chúng ta còn kết hợp thực hiện chủ trương lớn của Đảng về việc không tổ chức đơn vị hành chính cấp huyện, các cơ quan thuộc chính quyền địa phương cấp huyện sẽ kết thúc hoạt động cùng thời điểm sắp xếp đơn vị hành chính cấp tỉnh, cấp xã. Trong điều kiện tổ chức bộ máy có sự thay đổi, biến động lớn như vậy, thời gian còn lại của nhiệm kỳ Hội đồng nhân dân chỉ còn rất ngắn, đại biểu </w:t>
      </w:r>
      <w:r>
        <w:rPr>
          <w:color w:val="000000"/>
          <w:spacing w:val="-2"/>
          <w:sz w:val="28"/>
          <w:lang w:val="pt-BR"/>
        </w:rPr>
        <w:t>Hội đồng nhân dân</w:t>
      </w:r>
      <w:r>
        <w:rPr>
          <w:bCs/>
          <w:color w:val="000000"/>
          <w:spacing w:val="-2"/>
          <w:sz w:val="28"/>
          <w:szCs w:val="28"/>
          <w:lang w:val="nl-NL" w:eastAsia="vi-VN"/>
        </w:rPr>
        <w:t xml:space="preserve"> ở các đơn vị hành chính hình thành sau sắp xếp được tập hợp từ nhiều đơn vị hành chính trước đó khó có điều kiện nhận biết, đánh giá chính xác về năng lực của đội ngũ cán bộ sau sắp xếp. Bên cạnh đó, để đáp ứng yêu cầu bố trí, sắp xếp cán bộ, đặc biệt cán bộ đang công tác ở cấp huyện đến làm việc ở cơ quan mới tại cấp tỉnh, cấp xã, khai thác tối đa nguồn nhân lực hiện có, thì việc áp dụng cơ chế chỉ đinh đối với người giữ chức vụ lãnh đạo ở các cơ quan Ủy ban nhân dân, </w:t>
      </w:r>
      <w:r>
        <w:rPr>
          <w:color w:val="000000"/>
          <w:spacing w:val="-2"/>
          <w:sz w:val="28"/>
          <w:lang w:val="pt-BR"/>
        </w:rPr>
        <w:t>Hội đồng nhân dân</w:t>
      </w:r>
      <w:r>
        <w:rPr>
          <w:bCs/>
          <w:color w:val="000000"/>
          <w:spacing w:val="-2"/>
          <w:sz w:val="28"/>
          <w:szCs w:val="28"/>
          <w:lang w:val="nl-NL" w:eastAsia="vi-VN"/>
        </w:rPr>
        <w:t xml:space="preserve"> tại các đơn vị thực hiện sắp xếp là cần thiết, đáp ứng yêu cầu thực tiễn. Tuy hình thức là chỉ định nhưng công tác lựa chọn, giới thiệu nhân sự vẫn phải được tiến hành hết sức chặt chẽ và do cấp ủy có thẩm quyền quản lý cán bộ thực hiện theo đúng quy định của Đảng. Cơ chế này chỉ thực hiện trong năm 2025 để phục vụ việc sắp xếp các đơn vị hành chính lần này gắn với nội dung được sửa đổi, bổ sung của Hiến pháp (về việc không tổ chức đơn vị hành chính cấp huyện), còn sau bầu cử đại biểu Hội đồng nhân dân các cấp nhiệm kỳ 2026 - 2031 và các năm tiếp theo tiếp tục thực hiện bầu nhân sự bình thường theo đúng quy định hiện hành, </w:t>
      </w:r>
      <w:r>
        <w:rPr>
          <w:color w:val="000000"/>
          <w:spacing w:val="-2"/>
          <w:sz w:val="28"/>
          <w:lang w:val="pt-BR"/>
        </w:rPr>
        <w:t>Hội đồng nhân dân</w:t>
      </w:r>
      <w:r>
        <w:rPr>
          <w:bCs/>
          <w:color w:val="000000"/>
          <w:spacing w:val="-2"/>
          <w:sz w:val="28"/>
          <w:szCs w:val="28"/>
          <w:lang w:val="nl-NL" w:eastAsia="vi-VN"/>
        </w:rPr>
        <w:t xml:space="preserve"> sẽ bầu các chức danh của </w:t>
      </w:r>
      <w:r>
        <w:rPr>
          <w:color w:val="000000"/>
          <w:spacing w:val="-2"/>
          <w:sz w:val="28"/>
          <w:lang w:val="pt-BR"/>
        </w:rPr>
        <w:t>Hội đồng nhân dân</w:t>
      </w:r>
      <w:r>
        <w:rPr>
          <w:bCs/>
          <w:color w:val="000000"/>
          <w:spacing w:val="-2"/>
          <w:sz w:val="28"/>
          <w:szCs w:val="28"/>
          <w:lang w:val="nl-NL" w:eastAsia="vi-VN"/>
        </w:rPr>
        <w:t xml:space="preserve"> và Ủy ban nhân dân.</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pPr>
        <w:widowControl w:val="0"/>
        <w:ind w:left="3544"/>
        <w:jc w:val="center"/>
        <w:rPr>
          <w:bCs/>
          <w:color w:val="000000"/>
          <w:spacing w:val="-2"/>
          <w:sz w:val="28"/>
          <w:szCs w:val="28"/>
          <w:lang w:val="nl-NL" w:eastAsia="vi-VN"/>
        </w:rPr>
      </w:pPr>
      <w:r>
        <w:rPr>
          <w:b/>
        </w:rPr>
        <w:t>ỦY BAN DỰ THẢO SỬA ĐỔI, BỔ SUNG                                                                                   MỘT SỐ ĐIỀU CỦA HIẾN PHÁP NĂM 2013</w:t>
      </w:r>
    </w:p>
    <w:p>
      <w:pPr>
        <w:ind w:left="3544"/>
        <w:jc w:val="center"/>
      </w:pPr>
    </w:p>
    <w:sectPr>
      <w:headerReference w:type="default" r:id="rId7"/>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7500D-BA0F-49EB-94F9-B6F2FC17BC4F}"/>
</file>

<file path=customXml/itemProps2.xml><?xml version="1.0" encoding="utf-8"?>
<ds:datastoreItem xmlns:ds="http://schemas.openxmlformats.org/officeDocument/2006/customXml" ds:itemID="{65E95296-8E61-48C1-9ACB-71F47E7DF080}"/>
</file>

<file path=customXml/itemProps3.xml><?xml version="1.0" encoding="utf-8"?>
<ds:datastoreItem xmlns:ds="http://schemas.openxmlformats.org/officeDocument/2006/customXml" ds:itemID="{A55DA733-165E-44B5-859F-7E550F8736AC}"/>
</file>

<file path=docProps/app.xml><?xml version="1.0" encoding="utf-8"?>
<Properties xmlns="http://schemas.openxmlformats.org/officeDocument/2006/extended-properties" xmlns:vt="http://schemas.openxmlformats.org/officeDocument/2006/docPropsVTypes">
  <Template>Normal.dotm</Template>
  <TotalTime>1</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admin</cp:lastModifiedBy>
  <cp:revision>2</cp:revision>
  <cp:lastPrinted>2025-05-05T13:00:00Z</cp:lastPrinted>
  <dcterms:created xsi:type="dcterms:W3CDTF">2025-05-09T01:25:00Z</dcterms:created>
  <dcterms:modified xsi:type="dcterms:W3CDTF">2025-05-09T01:25:00Z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